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96" w:rsidRDefault="004D0054" w:rsidP="00D15A96">
      <w:pPr>
        <w:autoSpaceDE w:val="0"/>
        <w:autoSpaceDN w:val="0"/>
        <w:adjustRightInd w:val="0"/>
        <w:jc w:val="center"/>
        <w:rPr>
          <w:rFonts w:ascii="ＭＳ ゴシック" w:eastAsia="ＭＳ ゴシック" w:hAnsi="ＭＳ ゴシック" w:cs="MS-Mincho"/>
          <w:kern w:val="0"/>
          <w:sz w:val="24"/>
          <w:szCs w:val="24"/>
        </w:rPr>
      </w:pPr>
      <w:r>
        <w:rPr>
          <w:rFonts w:ascii="ＭＳ ゴシック" w:eastAsia="ＭＳ ゴシック" w:hAnsi="ＭＳ ゴシック" w:cs="MS-Mincho" w:hint="eastAsia"/>
          <w:noProof/>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4257040</wp:posOffset>
                </wp:positionH>
                <wp:positionV relativeFrom="paragraph">
                  <wp:posOffset>-5080</wp:posOffset>
                </wp:positionV>
                <wp:extent cx="1318895" cy="279400"/>
                <wp:effectExtent l="8890" t="13970" r="5715" b="1143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895" cy="279400"/>
                        </a:xfrm>
                        <a:prstGeom prst="rect">
                          <a:avLst/>
                        </a:prstGeom>
                        <a:solidFill>
                          <a:srgbClr val="FFFFFF"/>
                        </a:solidFill>
                        <a:ln w="9525">
                          <a:solidFill>
                            <a:srgbClr val="000000"/>
                          </a:solidFill>
                          <a:miter lim="800000"/>
                          <a:headEnd/>
                          <a:tailEnd/>
                        </a:ln>
                      </wps:spPr>
                      <wps:txbx>
                        <w:txbxContent>
                          <w:p w:rsidR="00D15A96" w:rsidRPr="00D15A96" w:rsidRDefault="00174199" w:rsidP="00D15A96">
                            <w:pPr>
                              <w:jc w:val="center"/>
                              <w:rPr>
                                <w:sz w:val="24"/>
                                <w:szCs w:val="24"/>
                              </w:rPr>
                            </w:pPr>
                            <w:r>
                              <w:rPr>
                                <w:rFonts w:hint="eastAsia"/>
                                <w:sz w:val="24"/>
                                <w:szCs w:val="24"/>
                              </w:rPr>
                              <w:t>参考</w:t>
                            </w:r>
                            <w:r w:rsidR="00A20712">
                              <w:rPr>
                                <w:rFonts w:hint="eastAsia"/>
                                <w:sz w:val="24"/>
                                <w:szCs w:val="24"/>
                              </w:rPr>
                              <w:t>資料</w:t>
                            </w:r>
                            <w:r>
                              <w:rPr>
                                <w:rFonts w:hint="eastAsia"/>
                                <w:sz w:val="24"/>
                                <w:szCs w:val="24"/>
                              </w:rPr>
                              <w:t>２</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5.2pt;margin-top:-.4pt;width:103.8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">
                <v:textbox style="mso-fit-shape-to-text:t" inset="5.85pt,1mm,5.85pt,1mm">
                  <w:txbxContent>
                    <w:p w:rsidR="00D15A96" w:rsidRPr="00D15A96" w:rsidRDefault="00174199" w:rsidP="00D15A96">
                      <w:pPr>
                        <w:jc w:val="center"/>
                        <w:rPr>
                          <w:sz w:val="24"/>
                          <w:szCs w:val="24"/>
                        </w:rPr>
                      </w:pPr>
                      <w:r>
                        <w:rPr>
                          <w:rFonts w:hint="eastAsia"/>
                          <w:sz w:val="24"/>
                          <w:szCs w:val="24"/>
                        </w:rPr>
                        <w:t>参考</w:t>
                      </w:r>
                      <w:r w:rsidR="00A20712">
                        <w:rPr>
                          <w:rFonts w:hint="eastAsia"/>
                          <w:sz w:val="24"/>
                          <w:szCs w:val="24"/>
                        </w:rPr>
                        <w:t>資料</w:t>
                      </w:r>
                      <w:r>
                        <w:rPr>
                          <w:rFonts w:hint="eastAsia"/>
                          <w:sz w:val="24"/>
                          <w:szCs w:val="24"/>
                        </w:rPr>
                        <w:t>２</w:t>
                      </w:r>
                    </w:p>
                  </w:txbxContent>
                </v:textbox>
              </v:shape>
            </w:pict>
          </mc:Fallback>
        </mc:AlternateContent>
      </w:r>
    </w:p>
    <w:p w:rsidR="00D15A96" w:rsidRDefault="00D15A96" w:rsidP="00D15A96">
      <w:pPr>
        <w:autoSpaceDE w:val="0"/>
        <w:autoSpaceDN w:val="0"/>
        <w:adjustRightInd w:val="0"/>
        <w:jc w:val="center"/>
        <w:rPr>
          <w:rFonts w:ascii="ＭＳ ゴシック" w:eastAsia="ＭＳ ゴシック" w:hAnsi="ＭＳ ゴシック" w:cs="MS-Mincho"/>
          <w:kern w:val="0"/>
          <w:sz w:val="24"/>
          <w:szCs w:val="24"/>
        </w:rPr>
      </w:pPr>
    </w:p>
    <w:p w:rsidR="00BD455F" w:rsidRPr="00D15A96" w:rsidRDefault="00D15A96" w:rsidP="00D15A96">
      <w:pPr>
        <w:autoSpaceDE w:val="0"/>
        <w:autoSpaceDN w:val="0"/>
        <w:adjustRightInd w:val="0"/>
        <w:jc w:val="center"/>
        <w:rPr>
          <w:rFonts w:ascii="ＭＳ ゴシック" w:eastAsia="ＭＳ ゴシック" w:hAnsi="ＭＳ ゴシック" w:cs="MS-Mincho"/>
          <w:kern w:val="0"/>
          <w:sz w:val="28"/>
          <w:szCs w:val="28"/>
        </w:rPr>
      </w:pPr>
      <w:r w:rsidRPr="00D15A96">
        <w:rPr>
          <w:rFonts w:ascii="ＭＳ ゴシック" w:eastAsia="ＭＳ ゴシック" w:hAnsi="ＭＳ ゴシック" w:cs="MS-Mincho" w:hint="eastAsia"/>
          <w:kern w:val="0"/>
          <w:sz w:val="28"/>
          <w:szCs w:val="28"/>
        </w:rPr>
        <w:t>ほ場整備の精査に伴うＱ＆Ａ</w:t>
      </w:r>
    </w:p>
    <w:p w:rsidR="00BD455F" w:rsidRDefault="00BD455F" w:rsidP="001D1F15">
      <w:pPr>
        <w:autoSpaceDE w:val="0"/>
        <w:autoSpaceDN w:val="0"/>
        <w:adjustRightInd w:val="0"/>
        <w:jc w:val="left"/>
        <w:rPr>
          <w:rFonts w:ascii="ＭＳ ゴシック" w:eastAsia="ＭＳ ゴシック" w:hAnsi="ＭＳ ゴシック" w:cs="MS-Mincho"/>
          <w:kern w:val="0"/>
          <w:sz w:val="24"/>
          <w:szCs w:val="24"/>
        </w:rPr>
      </w:pPr>
    </w:p>
    <w:bookmarkStart w:id="0" w:name="_GoBack"/>
    <w:bookmarkEnd w:id="0"/>
    <w:p w:rsidR="001D1F15" w:rsidRDefault="004D0054" w:rsidP="001D1F15">
      <w:pPr>
        <w:autoSpaceDE w:val="0"/>
        <w:autoSpaceDN w:val="0"/>
        <w:adjustRightInd w:val="0"/>
        <w:jc w:val="left"/>
        <w:rPr>
          <w:rFonts w:ascii="ＭＳ ゴシック" w:eastAsia="ＭＳ ゴシック" w:hAnsi="ＭＳ ゴシック" w:cs="MS-Mincho"/>
          <w:kern w:val="0"/>
          <w:sz w:val="24"/>
          <w:szCs w:val="24"/>
        </w:rPr>
      </w:pPr>
      <w:r>
        <w:rPr>
          <w:rFonts w:ascii="ＭＳ ゴシック" w:eastAsia="ＭＳ ゴシック" w:hAnsi="ＭＳ ゴシック" w:cs="MS-Mincho" w:hint="eastAsia"/>
          <w:noProof/>
          <w:kern w:val="0"/>
          <w:sz w:val="24"/>
          <w:szCs w:val="24"/>
        </w:rPr>
        <mc:AlternateContent>
          <mc:Choice Requires="wps">
            <w:drawing>
              <wp:anchor distT="0" distB="0" distL="114300" distR="114300" simplePos="0" relativeHeight="251656192" behindDoc="0" locked="0" layoutInCell="1" allowOverlap="1">
                <wp:simplePos x="0" y="0"/>
                <wp:positionH relativeFrom="column">
                  <wp:posOffset>24765</wp:posOffset>
                </wp:positionH>
                <wp:positionV relativeFrom="paragraph">
                  <wp:posOffset>111125</wp:posOffset>
                </wp:positionV>
                <wp:extent cx="5629275" cy="1009650"/>
                <wp:effectExtent l="5715" t="6350" r="13335" b="127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009650"/>
                        </a:xfrm>
                        <a:prstGeom prst="rect">
                          <a:avLst/>
                        </a:prstGeom>
                        <a:solidFill>
                          <a:srgbClr val="FFFFFF"/>
                        </a:solidFill>
                        <a:ln w="9525">
                          <a:solidFill>
                            <a:srgbClr val="000000"/>
                          </a:solidFill>
                          <a:miter lim="800000"/>
                          <a:headEnd/>
                          <a:tailEnd/>
                        </a:ln>
                      </wps:spPr>
                      <wps:txbx>
                        <w:txbxContent>
                          <w:p w:rsidR="00BD455F" w:rsidRDefault="00BD455F" w:rsidP="00BD455F">
                            <w:pPr>
                              <w:autoSpaceDE w:val="0"/>
                              <w:autoSpaceDN w:val="0"/>
                              <w:adjustRightInd w:val="0"/>
                              <w:ind w:leftChars="50" w:left="110" w:firstLineChars="100" w:firstLine="240"/>
                              <w:jc w:val="left"/>
                              <w:rPr>
                                <w:rFonts w:ascii="ＭＳ ゴシック" w:eastAsia="ＭＳ ゴシック" w:hAnsi="ＭＳ ゴシック" w:cs="MS-Mincho"/>
                                <w:kern w:val="0"/>
                                <w:sz w:val="24"/>
                                <w:szCs w:val="24"/>
                              </w:rPr>
                            </w:pPr>
                          </w:p>
                          <w:p w:rsidR="001D1F15" w:rsidRPr="00337EF8" w:rsidRDefault="001D1F15" w:rsidP="00BD455F">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ほ場整備事業実施中の地区において、換地が確定していない場合、対象農用地面積は一時利用地設定面積を基に算出してよいのか。また、一時利用</w:t>
                            </w:r>
                            <w:r w:rsidR="00C041E3" w:rsidRPr="00337EF8">
                              <w:rPr>
                                <w:rFonts w:ascii="ＭＳ ゴシック" w:eastAsia="ＭＳ ゴシック" w:hAnsi="ＭＳ ゴシック" w:cs="MS-Mincho" w:hint="eastAsia"/>
                                <w:kern w:val="0"/>
                                <w:sz w:val="24"/>
                                <w:szCs w:val="24"/>
                              </w:rPr>
                              <w:t>地</w:t>
                            </w:r>
                            <w:r w:rsidRPr="00337EF8">
                              <w:rPr>
                                <w:rFonts w:ascii="ＭＳ ゴシック" w:eastAsia="ＭＳ ゴシック" w:hAnsi="ＭＳ ゴシック" w:cs="MS-Mincho" w:hint="eastAsia"/>
                                <w:kern w:val="0"/>
                                <w:sz w:val="24"/>
                                <w:szCs w:val="24"/>
                              </w:rPr>
                              <w:t>設定面積がない場合は、従前の面積で申請してよいか。</w:t>
                            </w:r>
                          </w:p>
                        </w:txbxContent>
                      </wps:txbx>
                      <wps:bodyPr rot="0" vert="horz" wrap="square" lIns="74295" tIns="900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95pt;margin-top:8.75pt;width:443.25pt;height: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">
                <v:textbox inset="5.85pt,.25mm,5.85pt,.7pt">
                  <w:txbxContent>
                    <w:p w:rsidR="00BD455F" w:rsidRDefault="00BD455F" w:rsidP="00BD455F">
                      <w:pPr>
                        <w:autoSpaceDE w:val="0"/>
                        <w:autoSpaceDN w:val="0"/>
                        <w:adjustRightInd w:val="0"/>
                        <w:ind w:leftChars="50" w:left="110" w:firstLineChars="100" w:firstLine="240"/>
                        <w:jc w:val="left"/>
                        <w:rPr>
                          <w:rFonts w:ascii="ＭＳ ゴシック" w:eastAsia="ＭＳ ゴシック" w:hAnsi="ＭＳ ゴシック" w:cs="MS-Mincho" w:hint="eastAsia"/>
                          <w:kern w:val="0"/>
                          <w:sz w:val="24"/>
                          <w:szCs w:val="24"/>
                        </w:rPr>
                      </w:pPr>
                    </w:p>
                    <w:p w:rsidR="001D1F15" w:rsidRPr="00337EF8" w:rsidRDefault="001D1F15" w:rsidP="00BD455F">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ほ場整備事業実施中の地区において、換地が確定していない場合、対象農用地面積は一時利用地設定面積を基に算出してよいのか。また、一時利用</w:t>
                      </w:r>
                      <w:r w:rsidR="00C041E3" w:rsidRPr="00337EF8">
                        <w:rPr>
                          <w:rFonts w:ascii="ＭＳ ゴシック" w:eastAsia="ＭＳ ゴシック" w:hAnsi="ＭＳ ゴシック" w:cs="MS-Mincho" w:hint="eastAsia"/>
                          <w:kern w:val="0"/>
                          <w:sz w:val="24"/>
                          <w:szCs w:val="24"/>
                        </w:rPr>
                        <w:t>地</w:t>
                      </w:r>
                      <w:r w:rsidRPr="00337EF8">
                        <w:rPr>
                          <w:rFonts w:ascii="ＭＳ ゴシック" w:eastAsia="ＭＳ ゴシック" w:hAnsi="ＭＳ ゴシック" w:cs="MS-Mincho" w:hint="eastAsia"/>
                          <w:kern w:val="0"/>
                          <w:sz w:val="24"/>
                          <w:szCs w:val="24"/>
                        </w:rPr>
                        <w:t>設定面積がない場合は、従前の面積で申請してよいか。</w:t>
                      </w:r>
                    </w:p>
                  </w:txbxContent>
                </v:textbox>
              </v:shape>
            </w:pict>
          </mc:Fallback>
        </mc:AlternateContent>
      </w: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Pr="00D15A96" w:rsidRDefault="001D1F15" w:rsidP="001D1F15">
      <w:pPr>
        <w:autoSpaceDE w:val="0"/>
        <w:autoSpaceDN w:val="0"/>
        <w:adjustRightInd w:val="0"/>
        <w:jc w:val="left"/>
        <w:rPr>
          <w:rFonts w:ascii="ＭＳ 明朝" w:hAnsi="ＭＳ 明朝" w:cs="MS-Mincho"/>
          <w:kern w:val="0"/>
          <w:sz w:val="24"/>
          <w:szCs w:val="24"/>
        </w:rPr>
      </w:pPr>
      <w:r w:rsidRPr="00D15A96">
        <w:rPr>
          <w:rFonts w:ascii="ＭＳ 明朝" w:hAnsi="ＭＳ 明朝" w:cs="MS-Mincho" w:hint="eastAsia"/>
          <w:kern w:val="0"/>
          <w:sz w:val="24"/>
          <w:szCs w:val="24"/>
        </w:rPr>
        <w:t>（答）</w:t>
      </w:r>
    </w:p>
    <w:p w:rsidR="001D1F15" w:rsidRPr="00D15A96" w:rsidRDefault="001D1F15" w:rsidP="00D15A96">
      <w:pPr>
        <w:autoSpaceDE w:val="0"/>
        <w:autoSpaceDN w:val="0"/>
        <w:adjustRightInd w:val="0"/>
        <w:ind w:left="240" w:hangingChars="100" w:hanging="240"/>
        <w:jc w:val="left"/>
        <w:rPr>
          <w:rFonts w:ascii="ＭＳ 明朝" w:hAnsi="ＭＳ 明朝" w:cs="MS-Mincho"/>
          <w:kern w:val="0"/>
          <w:sz w:val="24"/>
          <w:szCs w:val="24"/>
        </w:rPr>
      </w:pPr>
      <w:r w:rsidRPr="00D15A96">
        <w:rPr>
          <w:rFonts w:ascii="ＭＳ 明朝" w:hAnsi="ＭＳ 明朝" w:cs="MS-Mincho" w:hint="eastAsia"/>
          <w:kern w:val="0"/>
          <w:sz w:val="24"/>
          <w:szCs w:val="24"/>
        </w:rPr>
        <w:t>１</w:t>
      </w:r>
      <w:r w:rsidRPr="00D15A96">
        <w:rPr>
          <w:rFonts w:ascii="ＭＳ 明朝" w:hAnsi="ＭＳ 明朝" w:cs="MS-Mincho"/>
          <w:kern w:val="0"/>
          <w:sz w:val="24"/>
          <w:szCs w:val="24"/>
        </w:rPr>
        <w:t xml:space="preserve"> </w:t>
      </w:r>
      <w:r w:rsidRPr="00D15A96">
        <w:rPr>
          <w:rFonts w:ascii="ＭＳ 明朝" w:hAnsi="ＭＳ 明朝" w:cs="MS-Mincho" w:hint="eastAsia"/>
          <w:kern w:val="0"/>
          <w:sz w:val="24"/>
          <w:szCs w:val="24"/>
        </w:rPr>
        <w:t>活動計画策定時に一時利用地設定面積がある場合は、換地が確定するまでは一時利用地設定面積を基に算出してよい。また一時利用</w:t>
      </w:r>
      <w:r w:rsidR="00C041E3" w:rsidRPr="00392454">
        <w:rPr>
          <w:rFonts w:ascii="ＭＳ 明朝" w:hAnsi="ＭＳ 明朝" w:cs="MS-Mincho" w:hint="eastAsia"/>
          <w:kern w:val="0"/>
          <w:sz w:val="24"/>
          <w:szCs w:val="24"/>
        </w:rPr>
        <w:t>地</w:t>
      </w:r>
      <w:r w:rsidRPr="00D15A96">
        <w:rPr>
          <w:rFonts w:ascii="ＭＳ 明朝" w:hAnsi="ＭＳ 明朝" w:cs="MS-Mincho" w:hint="eastAsia"/>
          <w:kern w:val="0"/>
          <w:sz w:val="24"/>
          <w:szCs w:val="24"/>
        </w:rPr>
        <w:t>設定面積がない場合は従前の面積で申請しても構わない。</w:t>
      </w:r>
    </w:p>
    <w:p w:rsidR="001D1F15" w:rsidRPr="00D15A96" w:rsidRDefault="001D1F15" w:rsidP="001D1F15">
      <w:pPr>
        <w:autoSpaceDE w:val="0"/>
        <w:autoSpaceDN w:val="0"/>
        <w:adjustRightInd w:val="0"/>
        <w:jc w:val="left"/>
        <w:rPr>
          <w:rFonts w:ascii="ＭＳ 明朝" w:hAnsi="ＭＳ 明朝" w:cs="MS-Mincho"/>
          <w:kern w:val="0"/>
          <w:sz w:val="24"/>
          <w:szCs w:val="24"/>
        </w:rPr>
      </w:pPr>
    </w:p>
    <w:p w:rsidR="001D1F15" w:rsidRDefault="004D0054" w:rsidP="001D1F15">
      <w:pPr>
        <w:autoSpaceDE w:val="0"/>
        <w:autoSpaceDN w:val="0"/>
        <w:adjustRightInd w:val="0"/>
        <w:jc w:val="left"/>
        <w:rPr>
          <w:rFonts w:ascii="ＭＳ ゴシック" w:eastAsia="ＭＳ ゴシック" w:hAnsi="ＭＳ ゴシック" w:cs="MS-Mincho"/>
          <w:kern w:val="0"/>
          <w:sz w:val="24"/>
          <w:szCs w:val="24"/>
        </w:rPr>
      </w:pPr>
      <w:r>
        <w:rPr>
          <w:rFonts w:ascii="ＭＳ ゴシック" w:eastAsia="ＭＳ ゴシック" w:hAnsi="ＭＳ ゴシック" w:cs="MS-Mincho" w:hint="eastAsia"/>
          <w:noProof/>
          <w:kern w:val="0"/>
          <w:sz w:val="24"/>
          <w:szCs w:val="24"/>
        </w:rPr>
        <mc:AlternateContent>
          <mc:Choice Requires="wps">
            <w:drawing>
              <wp:anchor distT="0" distB="0" distL="114300" distR="114300" simplePos="0" relativeHeight="251657216" behindDoc="0" locked="0" layoutInCell="1" allowOverlap="1">
                <wp:simplePos x="0" y="0"/>
                <wp:positionH relativeFrom="column">
                  <wp:posOffset>24765</wp:posOffset>
                </wp:positionH>
                <wp:positionV relativeFrom="paragraph">
                  <wp:posOffset>156210</wp:posOffset>
                </wp:positionV>
                <wp:extent cx="5629275" cy="600075"/>
                <wp:effectExtent l="5715" t="13335" r="13335"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00075"/>
                        </a:xfrm>
                        <a:prstGeom prst="rect">
                          <a:avLst/>
                        </a:prstGeom>
                        <a:solidFill>
                          <a:srgbClr val="FFFFFF"/>
                        </a:solidFill>
                        <a:ln w="9525">
                          <a:solidFill>
                            <a:srgbClr val="000000"/>
                          </a:solidFill>
                          <a:miter lim="800000"/>
                          <a:headEnd/>
                          <a:tailEnd/>
                        </a:ln>
                      </wps:spPr>
                      <wps:txbx>
                        <w:txbxContent>
                          <w:p w:rsidR="00BD455F" w:rsidRDefault="00BD455F"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4"/>
                                <w:szCs w:val="24"/>
                              </w:rPr>
                            </w:pPr>
                          </w:p>
                          <w:p w:rsidR="001D1F15" w:rsidRPr="00337EF8" w:rsidRDefault="001D1F15"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ほ場整備事業実施中において、対象農用地面積が変わった場合の対応いかん。</w:t>
                            </w:r>
                          </w:p>
                        </w:txbxContent>
                      </wps:txbx>
                      <wps:bodyPr rot="0" vert="horz" wrap="square" lIns="74295" tIns="900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1.95pt;margin-top:12.3pt;width:443.25pt;height:4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">
                <v:textbox inset="5.85pt,.25mm,5.85pt,.7pt">
                  <w:txbxContent>
                    <w:p w:rsidR="00BD455F" w:rsidRDefault="00BD455F" w:rsidP="00337EF8">
                      <w:pPr>
                        <w:autoSpaceDE w:val="0"/>
                        <w:autoSpaceDN w:val="0"/>
                        <w:adjustRightInd w:val="0"/>
                        <w:ind w:leftChars="50" w:left="110" w:firstLineChars="100" w:firstLine="240"/>
                        <w:jc w:val="left"/>
                        <w:rPr>
                          <w:rFonts w:ascii="ＭＳ ゴシック" w:eastAsia="ＭＳ ゴシック" w:hAnsi="ＭＳ ゴシック" w:cs="MS-Mincho" w:hint="eastAsia"/>
                          <w:kern w:val="0"/>
                          <w:sz w:val="24"/>
                          <w:szCs w:val="24"/>
                        </w:rPr>
                      </w:pPr>
                    </w:p>
                    <w:p w:rsidR="001D1F15" w:rsidRPr="00337EF8" w:rsidRDefault="001D1F15"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ほ場整備事業実施中において、対象農用地面積が変わった場合の対応いかん。</w:t>
                      </w:r>
                    </w:p>
                  </w:txbxContent>
                </v:textbox>
              </v:shape>
            </w:pict>
          </mc:Fallback>
        </mc:AlternateContent>
      </w: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Default="001D1F15" w:rsidP="001D1F15">
      <w:pPr>
        <w:autoSpaceDE w:val="0"/>
        <w:autoSpaceDN w:val="0"/>
        <w:adjustRightInd w:val="0"/>
        <w:jc w:val="left"/>
        <w:rPr>
          <w:rFonts w:ascii="ＭＳ ゴシック" w:eastAsia="ＭＳ ゴシック" w:hAnsi="ＭＳ ゴシック" w:cs="MS-Mincho"/>
          <w:kern w:val="0"/>
          <w:sz w:val="24"/>
          <w:szCs w:val="24"/>
        </w:rPr>
      </w:pPr>
    </w:p>
    <w:p w:rsidR="001D1F15" w:rsidRPr="00D15A96" w:rsidRDefault="001D1F15" w:rsidP="001D1F15">
      <w:pPr>
        <w:autoSpaceDE w:val="0"/>
        <w:autoSpaceDN w:val="0"/>
        <w:adjustRightInd w:val="0"/>
        <w:jc w:val="left"/>
        <w:rPr>
          <w:rFonts w:ascii="ＭＳ 明朝" w:hAnsi="ＭＳ 明朝" w:cs="MS-Mincho"/>
          <w:kern w:val="0"/>
          <w:sz w:val="24"/>
          <w:szCs w:val="24"/>
        </w:rPr>
      </w:pPr>
      <w:r w:rsidRPr="00D15A96">
        <w:rPr>
          <w:rFonts w:ascii="ＭＳ 明朝" w:hAnsi="ＭＳ 明朝" w:cs="MS-Mincho" w:hint="eastAsia"/>
          <w:kern w:val="0"/>
          <w:sz w:val="24"/>
          <w:szCs w:val="24"/>
        </w:rPr>
        <w:t>（答）</w:t>
      </w:r>
    </w:p>
    <w:p w:rsidR="001D1F15" w:rsidRPr="004F28F5" w:rsidRDefault="001D1F15" w:rsidP="00D15A96">
      <w:pPr>
        <w:autoSpaceDE w:val="0"/>
        <w:autoSpaceDN w:val="0"/>
        <w:adjustRightInd w:val="0"/>
        <w:ind w:left="240" w:hangingChars="100" w:hanging="240"/>
        <w:jc w:val="left"/>
        <w:rPr>
          <w:rFonts w:ascii="ＭＳ 明朝" w:hAnsi="ＭＳ 明朝" w:cs="MS-Mincho"/>
          <w:kern w:val="0"/>
          <w:sz w:val="24"/>
          <w:szCs w:val="24"/>
        </w:rPr>
      </w:pPr>
      <w:r w:rsidRPr="00D15A96">
        <w:rPr>
          <w:rFonts w:ascii="ＭＳ 明朝" w:hAnsi="ＭＳ 明朝" w:cs="MS-Mincho" w:hint="eastAsia"/>
          <w:kern w:val="0"/>
          <w:sz w:val="24"/>
          <w:szCs w:val="24"/>
        </w:rPr>
        <w:t>１</w:t>
      </w:r>
      <w:r w:rsidRPr="00D15A96">
        <w:rPr>
          <w:rFonts w:ascii="ＭＳ 明朝" w:hAnsi="ＭＳ 明朝" w:cs="MS-Mincho"/>
          <w:kern w:val="0"/>
          <w:sz w:val="24"/>
          <w:szCs w:val="24"/>
        </w:rPr>
        <w:t xml:space="preserve"> </w:t>
      </w:r>
      <w:r w:rsidRPr="00D15A96">
        <w:rPr>
          <w:rFonts w:ascii="ＭＳ 明朝" w:hAnsi="ＭＳ 明朝" w:cs="MS-Mincho" w:hint="eastAsia"/>
          <w:kern w:val="0"/>
          <w:sz w:val="24"/>
          <w:szCs w:val="24"/>
        </w:rPr>
        <w:t>原則として、当該年度において対象農用</w:t>
      </w:r>
      <w:r w:rsidRPr="004F28F5">
        <w:rPr>
          <w:rFonts w:ascii="ＭＳ 明朝" w:hAnsi="ＭＳ 明朝" w:cs="MS-Mincho" w:hint="eastAsia"/>
          <w:kern w:val="0"/>
          <w:sz w:val="24"/>
          <w:szCs w:val="24"/>
        </w:rPr>
        <w:t>地面積の増減に応じた交付金の清算（対象農用地面積が減少した場合、活動組織等がその差額を</w:t>
      </w:r>
      <w:r w:rsidR="00D15A96" w:rsidRPr="004F28F5">
        <w:rPr>
          <w:rFonts w:ascii="ＭＳ 明朝" w:hAnsi="ＭＳ 明朝" w:cs="MS-Mincho" w:hint="eastAsia"/>
          <w:kern w:val="0"/>
          <w:sz w:val="24"/>
          <w:szCs w:val="24"/>
        </w:rPr>
        <w:t>道</w:t>
      </w:r>
      <w:r w:rsidRPr="004F28F5">
        <w:rPr>
          <w:rFonts w:ascii="ＭＳ 明朝" w:hAnsi="ＭＳ 明朝" w:cs="MS-Mincho" w:hint="eastAsia"/>
          <w:kern w:val="0"/>
          <w:sz w:val="24"/>
          <w:szCs w:val="24"/>
        </w:rPr>
        <w:t>協議会へ返還。対象農用地面積が増加した場合、</w:t>
      </w:r>
      <w:r w:rsidR="00D15A96" w:rsidRPr="004F28F5">
        <w:rPr>
          <w:rFonts w:ascii="ＭＳ 明朝" w:hAnsi="ＭＳ 明朝" w:cs="MS-Mincho" w:hint="eastAsia"/>
          <w:kern w:val="0"/>
          <w:sz w:val="24"/>
          <w:szCs w:val="24"/>
        </w:rPr>
        <w:t>道</w:t>
      </w:r>
      <w:r w:rsidRPr="004F28F5">
        <w:rPr>
          <w:rFonts w:ascii="ＭＳ 明朝" w:hAnsi="ＭＳ 明朝" w:cs="MS-Mincho" w:hint="eastAsia"/>
          <w:kern w:val="0"/>
          <w:sz w:val="24"/>
          <w:szCs w:val="24"/>
        </w:rPr>
        <w:t>協議会から活動組織等に対し</w:t>
      </w:r>
      <w:r w:rsidR="00D15A96" w:rsidRPr="004F28F5">
        <w:rPr>
          <w:rFonts w:ascii="ＭＳ 明朝" w:hAnsi="ＭＳ 明朝" w:cs="MS-Mincho" w:hint="eastAsia"/>
          <w:kern w:val="0"/>
          <w:sz w:val="24"/>
          <w:szCs w:val="24"/>
        </w:rPr>
        <w:t>交付金交付会計の範囲内で</w:t>
      </w:r>
      <w:r w:rsidRPr="004F28F5">
        <w:rPr>
          <w:rFonts w:ascii="ＭＳ 明朝" w:hAnsi="ＭＳ 明朝" w:cs="MS-Mincho" w:hint="eastAsia"/>
          <w:kern w:val="0"/>
          <w:sz w:val="24"/>
          <w:szCs w:val="24"/>
        </w:rPr>
        <w:t>追加交付）を行う必要がある。</w:t>
      </w:r>
    </w:p>
    <w:p w:rsidR="001D1F15" w:rsidRPr="004F28F5" w:rsidRDefault="001D1F15" w:rsidP="00D15A96">
      <w:pPr>
        <w:autoSpaceDE w:val="0"/>
        <w:autoSpaceDN w:val="0"/>
        <w:adjustRightInd w:val="0"/>
        <w:ind w:left="240" w:hangingChars="100" w:hanging="240"/>
        <w:jc w:val="left"/>
        <w:rPr>
          <w:rFonts w:ascii="ＭＳ 明朝" w:hAnsi="ＭＳ 明朝" w:cs="MS-Mincho"/>
          <w:kern w:val="0"/>
          <w:sz w:val="24"/>
          <w:szCs w:val="24"/>
        </w:rPr>
      </w:pPr>
      <w:r w:rsidRPr="004F28F5">
        <w:rPr>
          <w:rFonts w:ascii="ＭＳ 明朝" w:hAnsi="ＭＳ 明朝" w:cs="MS-Mincho" w:hint="eastAsia"/>
          <w:kern w:val="0"/>
          <w:sz w:val="24"/>
          <w:szCs w:val="24"/>
        </w:rPr>
        <w:t>２</w:t>
      </w:r>
      <w:r w:rsidRPr="004F28F5">
        <w:rPr>
          <w:rFonts w:ascii="ＭＳ 明朝" w:hAnsi="ＭＳ 明朝" w:cs="MS-Mincho"/>
          <w:kern w:val="0"/>
          <w:sz w:val="24"/>
          <w:szCs w:val="24"/>
        </w:rPr>
        <w:t xml:space="preserve"> </w:t>
      </w:r>
      <w:r w:rsidRPr="004F28F5">
        <w:rPr>
          <w:rFonts w:ascii="ＭＳ 明朝" w:hAnsi="ＭＳ 明朝" w:cs="MS-Mincho" w:hint="eastAsia"/>
          <w:kern w:val="0"/>
          <w:sz w:val="24"/>
          <w:szCs w:val="24"/>
        </w:rPr>
        <w:t>ただし、前年度以前に交付された交付金については、遡って清算する必要はない。</w:t>
      </w:r>
    </w:p>
    <w:p w:rsidR="001D1F15" w:rsidRPr="00D15A96" w:rsidRDefault="001D1F15" w:rsidP="00D15A96">
      <w:pPr>
        <w:autoSpaceDE w:val="0"/>
        <w:autoSpaceDN w:val="0"/>
        <w:adjustRightInd w:val="0"/>
        <w:ind w:left="240" w:hangingChars="100" w:hanging="240"/>
        <w:jc w:val="left"/>
        <w:rPr>
          <w:rFonts w:ascii="ＭＳ 明朝" w:hAnsi="ＭＳ 明朝" w:cs="MS-Mincho"/>
          <w:kern w:val="0"/>
          <w:sz w:val="20"/>
          <w:szCs w:val="20"/>
        </w:rPr>
      </w:pPr>
      <w:r w:rsidRPr="00D15A96">
        <w:rPr>
          <w:rFonts w:ascii="ＭＳ 明朝" w:hAnsi="ＭＳ 明朝" w:cs="MS-Mincho" w:hint="eastAsia"/>
          <w:kern w:val="0"/>
          <w:sz w:val="24"/>
          <w:szCs w:val="24"/>
        </w:rPr>
        <w:t>３</w:t>
      </w:r>
      <w:r w:rsidRPr="00D15A96">
        <w:rPr>
          <w:rFonts w:ascii="ＭＳ 明朝" w:hAnsi="ＭＳ 明朝" w:cs="MS-Mincho"/>
          <w:kern w:val="0"/>
          <w:sz w:val="24"/>
          <w:szCs w:val="24"/>
        </w:rPr>
        <w:t xml:space="preserve"> </w:t>
      </w:r>
      <w:r w:rsidRPr="00D15A96">
        <w:rPr>
          <w:rFonts w:ascii="ＭＳ 明朝" w:hAnsi="ＭＳ 明朝" w:cs="MS-Mincho" w:hint="eastAsia"/>
          <w:kern w:val="0"/>
          <w:sz w:val="24"/>
          <w:szCs w:val="24"/>
        </w:rPr>
        <w:t>なお、対象農用地面積に増減が生じた場合には、速やかに協定の変更を行い、採択内容の変更承認申請を行うものとする。</w:t>
      </w:r>
    </w:p>
    <w:p w:rsidR="00763229" w:rsidRDefault="00763229">
      <w:pPr>
        <w:rPr>
          <w:rFonts w:ascii="ＭＳ ゴシック" w:eastAsia="ＭＳ ゴシック" w:hAnsi="ＭＳ ゴシック"/>
        </w:rPr>
      </w:pPr>
    </w:p>
    <w:p w:rsidR="00337EF8" w:rsidRDefault="004D0054">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simplePos x="0" y="0"/>
                <wp:positionH relativeFrom="column">
                  <wp:posOffset>24765</wp:posOffset>
                </wp:positionH>
                <wp:positionV relativeFrom="paragraph">
                  <wp:posOffset>161290</wp:posOffset>
                </wp:positionV>
                <wp:extent cx="5629275" cy="1035685"/>
                <wp:effectExtent l="5715" t="8890" r="13335" b="127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035685"/>
                        </a:xfrm>
                        <a:prstGeom prst="rect">
                          <a:avLst/>
                        </a:prstGeom>
                        <a:solidFill>
                          <a:srgbClr val="FFFFFF"/>
                        </a:solidFill>
                        <a:ln w="9525">
                          <a:solidFill>
                            <a:srgbClr val="000000"/>
                          </a:solidFill>
                          <a:miter lim="800000"/>
                          <a:headEnd/>
                          <a:tailEnd/>
                        </a:ln>
                      </wps:spPr>
                      <wps:txbx>
                        <w:txbxContent>
                          <w:p w:rsidR="00BD455F" w:rsidRDefault="00BD455F"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4"/>
                                <w:szCs w:val="24"/>
                              </w:rPr>
                            </w:pPr>
                          </w:p>
                          <w:p w:rsidR="00337EF8" w:rsidRPr="00337EF8" w:rsidRDefault="00337EF8"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において、対象農用地面積について一時利用地設定面積により交付金交付決定がなされ、当該年度において全額交付金が交付された後、換地が確定し、対象農用地面積に増減が生じた場合の対応いか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1.95pt;margin-top:12.7pt;width:443.25pt;height:8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">
                <v:textbox inset="5.85pt,.7pt,5.85pt,.7pt">
                  <w:txbxContent>
                    <w:p w:rsidR="00BD455F" w:rsidRDefault="00BD455F" w:rsidP="00337EF8">
                      <w:pPr>
                        <w:autoSpaceDE w:val="0"/>
                        <w:autoSpaceDN w:val="0"/>
                        <w:adjustRightInd w:val="0"/>
                        <w:ind w:leftChars="50" w:left="110" w:firstLineChars="100" w:firstLine="240"/>
                        <w:jc w:val="left"/>
                        <w:rPr>
                          <w:rFonts w:ascii="ＭＳ ゴシック" w:eastAsia="ＭＳ ゴシック" w:hAnsi="ＭＳ ゴシック" w:cs="MS-Mincho" w:hint="eastAsia"/>
                          <w:kern w:val="0"/>
                          <w:sz w:val="24"/>
                          <w:szCs w:val="24"/>
                        </w:rPr>
                      </w:pPr>
                    </w:p>
                    <w:p w:rsidR="00337EF8" w:rsidRPr="00337EF8" w:rsidRDefault="00337EF8" w:rsidP="00337EF8">
                      <w:pPr>
                        <w:autoSpaceDE w:val="0"/>
                        <w:autoSpaceDN w:val="0"/>
                        <w:adjustRightInd w:val="0"/>
                        <w:ind w:leftChars="50" w:left="110" w:firstLineChars="100" w:firstLine="240"/>
                        <w:jc w:val="left"/>
                        <w:rPr>
                          <w:rFonts w:ascii="ＭＳ ゴシック" w:eastAsia="ＭＳ ゴシック" w:hAnsi="ＭＳ ゴシック" w:cs="MS-Mincho"/>
                          <w:kern w:val="0"/>
                          <w:sz w:val="20"/>
                          <w:szCs w:val="20"/>
                        </w:rPr>
                      </w:pPr>
                      <w:r w:rsidRPr="00337EF8">
                        <w:rPr>
                          <w:rFonts w:ascii="ＭＳ ゴシック" w:eastAsia="ＭＳ ゴシック" w:hAnsi="ＭＳ ゴシック" w:cs="MS-Mincho" w:hint="eastAsia"/>
                          <w:kern w:val="0"/>
                          <w:sz w:val="24"/>
                          <w:szCs w:val="24"/>
                        </w:rPr>
                        <w:t>ほ場整備事業実施中において、対象農用地面積について一時利用地設定面積により交付金交付決定がなされ、当該年度において全額交付金が交付された後、換地が確定し、対象農用地面積に増減が生じた場合の対応いかん。</w:t>
                      </w:r>
                    </w:p>
                  </w:txbxContent>
                </v:textbox>
              </v:shape>
            </w:pict>
          </mc:Fallback>
        </mc:AlternateContent>
      </w:r>
    </w:p>
    <w:p w:rsidR="00337EF8" w:rsidRDefault="00337EF8">
      <w:pPr>
        <w:rPr>
          <w:rFonts w:ascii="ＭＳ ゴシック" w:eastAsia="ＭＳ ゴシック" w:hAnsi="ＭＳ ゴシック"/>
        </w:rPr>
      </w:pPr>
    </w:p>
    <w:p w:rsidR="00337EF8" w:rsidRDefault="00337EF8">
      <w:pPr>
        <w:rPr>
          <w:rFonts w:ascii="ＭＳ ゴシック" w:eastAsia="ＭＳ ゴシック" w:hAnsi="ＭＳ ゴシック"/>
        </w:rPr>
      </w:pPr>
    </w:p>
    <w:p w:rsidR="00337EF8" w:rsidRDefault="00337EF8">
      <w:pPr>
        <w:rPr>
          <w:rFonts w:ascii="ＭＳ ゴシック" w:eastAsia="ＭＳ ゴシック" w:hAnsi="ＭＳ ゴシック"/>
        </w:rPr>
      </w:pPr>
    </w:p>
    <w:p w:rsidR="00337EF8" w:rsidRPr="001D1F15" w:rsidRDefault="00337EF8">
      <w:pPr>
        <w:rPr>
          <w:rFonts w:ascii="ＭＳ ゴシック" w:eastAsia="ＭＳ ゴシック" w:hAnsi="ＭＳ ゴシック"/>
        </w:rPr>
      </w:pPr>
    </w:p>
    <w:p w:rsidR="001D1F15" w:rsidRDefault="001D1F15" w:rsidP="001D1F15">
      <w:pPr>
        <w:autoSpaceDE w:val="0"/>
        <w:autoSpaceDN w:val="0"/>
        <w:adjustRightInd w:val="0"/>
        <w:jc w:val="left"/>
        <w:rPr>
          <w:rFonts w:ascii="ＭＳ ゴシック" w:eastAsia="ＭＳ ゴシック" w:hAnsi="ＭＳ ゴシック" w:cs="MS-Mincho"/>
          <w:kern w:val="0"/>
          <w:sz w:val="20"/>
          <w:szCs w:val="20"/>
        </w:rPr>
      </w:pPr>
    </w:p>
    <w:p w:rsidR="00337EF8" w:rsidRPr="001D1F15" w:rsidRDefault="00337EF8" w:rsidP="001D1F15">
      <w:pPr>
        <w:autoSpaceDE w:val="0"/>
        <w:autoSpaceDN w:val="0"/>
        <w:adjustRightInd w:val="0"/>
        <w:jc w:val="left"/>
        <w:rPr>
          <w:rFonts w:ascii="ＭＳ ゴシック" w:eastAsia="ＭＳ ゴシック" w:hAnsi="ＭＳ ゴシック" w:cs="MS-Mincho"/>
          <w:kern w:val="0"/>
          <w:sz w:val="20"/>
          <w:szCs w:val="20"/>
        </w:rPr>
      </w:pPr>
    </w:p>
    <w:p w:rsidR="001D1F15" w:rsidRPr="00D15A96" w:rsidRDefault="001D1F15" w:rsidP="001D1F15">
      <w:pPr>
        <w:autoSpaceDE w:val="0"/>
        <w:autoSpaceDN w:val="0"/>
        <w:adjustRightInd w:val="0"/>
        <w:jc w:val="left"/>
        <w:rPr>
          <w:rFonts w:ascii="ＭＳ 明朝" w:hAnsi="ＭＳ 明朝" w:cs="MS-Mincho"/>
          <w:kern w:val="0"/>
          <w:sz w:val="24"/>
          <w:szCs w:val="24"/>
        </w:rPr>
      </w:pPr>
      <w:r w:rsidRPr="00D15A96">
        <w:rPr>
          <w:rFonts w:ascii="ＭＳ 明朝" w:hAnsi="ＭＳ 明朝" w:cs="MS-Mincho" w:hint="eastAsia"/>
          <w:kern w:val="0"/>
          <w:sz w:val="24"/>
          <w:szCs w:val="24"/>
        </w:rPr>
        <w:t>（答）</w:t>
      </w:r>
    </w:p>
    <w:p w:rsidR="001D1F15" w:rsidRPr="00D15A96" w:rsidRDefault="001D1F15" w:rsidP="00D15A96">
      <w:pPr>
        <w:autoSpaceDE w:val="0"/>
        <w:autoSpaceDN w:val="0"/>
        <w:adjustRightInd w:val="0"/>
        <w:ind w:left="240" w:hangingChars="100" w:hanging="240"/>
        <w:jc w:val="left"/>
        <w:rPr>
          <w:rFonts w:ascii="ＭＳ 明朝" w:hAnsi="ＭＳ 明朝" w:cs="MS-Mincho"/>
          <w:kern w:val="0"/>
          <w:sz w:val="20"/>
          <w:szCs w:val="20"/>
        </w:rPr>
      </w:pPr>
      <w:r w:rsidRPr="00D15A96">
        <w:rPr>
          <w:rFonts w:ascii="ＭＳ 明朝" w:hAnsi="ＭＳ 明朝" w:cs="MS-Mincho" w:hint="eastAsia"/>
          <w:kern w:val="0"/>
          <w:sz w:val="24"/>
          <w:szCs w:val="24"/>
        </w:rPr>
        <w:t>１</w:t>
      </w:r>
      <w:r w:rsidRPr="00D15A96">
        <w:rPr>
          <w:rFonts w:ascii="ＭＳ 明朝" w:hAnsi="ＭＳ 明朝" w:cs="MS-Mincho"/>
          <w:kern w:val="0"/>
          <w:sz w:val="24"/>
          <w:szCs w:val="24"/>
        </w:rPr>
        <w:t xml:space="preserve"> </w:t>
      </w:r>
      <w:r w:rsidRPr="00D15A96">
        <w:rPr>
          <w:rFonts w:ascii="ＭＳ 明朝" w:hAnsi="ＭＳ 明朝" w:cs="MS-Mincho" w:hint="eastAsia"/>
          <w:kern w:val="0"/>
          <w:sz w:val="24"/>
          <w:szCs w:val="24"/>
        </w:rPr>
        <w:t>換地が確定し、対象農用地面積に増減が生じた場合には、速やかに協定の変更、採択変更申請及び交付金の清算を行うものとする。</w:t>
      </w:r>
    </w:p>
    <w:p w:rsidR="001D1F15" w:rsidRPr="00D15A96" w:rsidRDefault="001D1F15">
      <w:pPr>
        <w:rPr>
          <w:rFonts w:ascii="ＭＳ 明朝" w:hAnsi="ＭＳ 明朝"/>
        </w:rPr>
      </w:pPr>
    </w:p>
    <w:sectPr w:rsidR="001D1F15" w:rsidRPr="00D15A96" w:rsidSect="00D15A96">
      <w:pgSz w:w="12240" w:h="15840"/>
      <w:pgMar w:top="1560" w:right="1701" w:bottom="1276"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454" w:rsidRDefault="00392454" w:rsidP="00D15A96">
      <w:r>
        <w:separator/>
      </w:r>
    </w:p>
  </w:endnote>
  <w:endnote w:type="continuationSeparator" w:id="0">
    <w:p w:rsidR="00392454" w:rsidRDefault="00392454" w:rsidP="00D1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454" w:rsidRDefault="00392454" w:rsidP="00D15A96">
      <w:r>
        <w:separator/>
      </w:r>
    </w:p>
  </w:footnote>
  <w:footnote w:type="continuationSeparator" w:id="0">
    <w:p w:rsidR="00392454" w:rsidRDefault="00392454" w:rsidP="00D15A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15"/>
    <w:rsid w:val="00174199"/>
    <w:rsid w:val="001D1F15"/>
    <w:rsid w:val="00282FE1"/>
    <w:rsid w:val="00337EF8"/>
    <w:rsid w:val="00392454"/>
    <w:rsid w:val="003E5105"/>
    <w:rsid w:val="004D0054"/>
    <w:rsid w:val="004F28F5"/>
    <w:rsid w:val="006E5E8F"/>
    <w:rsid w:val="007441AA"/>
    <w:rsid w:val="00763229"/>
    <w:rsid w:val="00812EE1"/>
    <w:rsid w:val="00A20712"/>
    <w:rsid w:val="00A32212"/>
    <w:rsid w:val="00BD455F"/>
    <w:rsid w:val="00C041E3"/>
    <w:rsid w:val="00C77D05"/>
    <w:rsid w:val="00CE115B"/>
    <w:rsid w:val="00D15A96"/>
    <w:rsid w:val="00DE3A4B"/>
    <w:rsid w:val="00E5711A"/>
    <w:rsid w:val="00F12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4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F15"/>
    <w:rPr>
      <w:rFonts w:ascii="Arial" w:eastAsia="ＭＳ ゴシック" w:hAnsi="Arial"/>
      <w:sz w:val="18"/>
      <w:szCs w:val="18"/>
    </w:rPr>
  </w:style>
  <w:style w:type="character" w:customStyle="1" w:styleId="a4">
    <w:name w:val="吹き出し (文字)"/>
    <w:link w:val="a3"/>
    <w:uiPriority w:val="99"/>
    <w:semiHidden/>
    <w:rsid w:val="001D1F15"/>
    <w:rPr>
      <w:rFonts w:ascii="Arial" w:eastAsia="ＭＳ ゴシック" w:hAnsi="Arial" w:cs="Times New Roman"/>
      <w:sz w:val="18"/>
      <w:szCs w:val="18"/>
    </w:rPr>
  </w:style>
  <w:style w:type="paragraph" w:styleId="a5">
    <w:name w:val="header"/>
    <w:basedOn w:val="a"/>
    <w:link w:val="a6"/>
    <w:uiPriority w:val="99"/>
    <w:unhideWhenUsed/>
    <w:rsid w:val="00D15A96"/>
    <w:pPr>
      <w:tabs>
        <w:tab w:val="center" w:pos="4252"/>
        <w:tab w:val="right" w:pos="8504"/>
      </w:tabs>
      <w:snapToGrid w:val="0"/>
    </w:pPr>
  </w:style>
  <w:style w:type="character" w:customStyle="1" w:styleId="a6">
    <w:name w:val="ヘッダー (文字)"/>
    <w:link w:val="a5"/>
    <w:uiPriority w:val="99"/>
    <w:rsid w:val="00D15A96"/>
    <w:rPr>
      <w:kern w:val="2"/>
      <w:sz w:val="22"/>
      <w:szCs w:val="22"/>
    </w:rPr>
  </w:style>
  <w:style w:type="paragraph" w:styleId="a7">
    <w:name w:val="footer"/>
    <w:basedOn w:val="a"/>
    <w:link w:val="a8"/>
    <w:uiPriority w:val="99"/>
    <w:unhideWhenUsed/>
    <w:rsid w:val="00D15A96"/>
    <w:pPr>
      <w:tabs>
        <w:tab w:val="center" w:pos="4252"/>
        <w:tab w:val="right" w:pos="8504"/>
      </w:tabs>
      <w:snapToGrid w:val="0"/>
    </w:pPr>
  </w:style>
  <w:style w:type="character" w:customStyle="1" w:styleId="a8">
    <w:name w:val="フッター (文字)"/>
    <w:link w:val="a7"/>
    <w:uiPriority w:val="99"/>
    <w:rsid w:val="00D15A96"/>
    <w:rPr>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4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F15"/>
    <w:rPr>
      <w:rFonts w:ascii="Arial" w:eastAsia="ＭＳ ゴシック" w:hAnsi="Arial"/>
      <w:sz w:val="18"/>
      <w:szCs w:val="18"/>
    </w:rPr>
  </w:style>
  <w:style w:type="character" w:customStyle="1" w:styleId="a4">
    <w:name w:val="吹き出し (文字)"/>
    <w:link w:val="a3"/>
    <w:uiPriority w:val="99"/>
    <w:semiHidden/>
    <w:rsid w:val="001D1F15"/>
    <w:rPr>
      <w:rFonts w:ascii="Arial" w:eastAsia="ＭＳ ゴシック" w:hAnsi="Arial" w:cs="Times New Roman"/>
      <w:sz w:val="18"/>
      <w:szCs w:val="18"/>
    </w:rPr>
  </w:style>
  <w:style w:type="paragraph" w:styleId="a5">
    <w:name w:val="header"/>
    <w:basedOn w:val="a"/>
    <w:link w:val="a6"/>
    <w:uiPriority w:val="99"/>
    <w:unhideWhenUsed/>
    <w:rsid w:val="00D15A96"/>
    <w:pPr>
      <w:tabs>
        <w:tab w:val="center" w:pos="4252"/>
        <w:tab w:val="right" w:pos="8504"/>
      </w:tabs>
      <w:snapToGrid w:val="0"/>
    </w:pPr>
  </w:style>
  <w:style w:type="character" w:customStyle="1" w:styleId="a6">
    <w:name w:val="ヘッダー (文字)"/>
    <w:link w:val="a5"/>
    <w:uiPriority w:val="99"/>
    <w:rsid w:val="00D15A96"/>
    <w:rPr>
      <w:kern w:val="2"/>
      <w:sz w:val="22"/>
      <w:szCs w:val="22"/>
    </w:rPr>
  </w:style>
  <w:style w:type="paragraph" w:styleId="a7">
    <w:name w:val="footer"/>
    <w:basedOn w:val="a"/>
    <w:link w:val="a8"/>
    <w:uiPriority w:val="99"/>
    <w:unhideWhenUsed/>
    <w:rsid w:val="00D15A96"/>
    <w:pPr>
      <w:tabs>
        <w:tab w:val="center" w:pos="4252"/>
        <w:tab w:val="right" w:pos="8504"/>
      </w:tabs>
      <w:snapToGrid w:val="0"/>
    </w:pPr>
  </w:style>
  <w:style w:type="character" w:customStyle="1" w:styleId="a8">
    <w:name w:val="フッター (文字)"/>
    <w:link w:val="a7"/>
    <w:uiPriority w:val="99"/>
    <w:rsid w:val="00D15A96"/>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tamura</dc:creator>
  <cp:lastModifiedBy>齋藤 通彦</cp:lastModifiedBy>
  <cp:revision>4</cp:revision>
  <dcterms:created xsi:type="dcterms:W3CDTF">2015-10-26T02:32:00Z</dcterms:created>
  <dcterms:modified xsi:type="dcterms:W3CDTF">2015-10-26T04:50:00Z</dcterms:modified>
</cp:coreProperties>
</file>